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4E" w:rsidRDefault="0038134E" w:rsidP="0038134E">
      <w:pPr>
        <w:ind w:left="1080"/>
        <w:jc w:val="right"/>
        <w:rPr>
          <w:sz w:val="24"/>
          <w:szCs w:val="24"/>
        </w:rPr>
      </w:pPr>
      <w:r>
        <w:rPr>
          <w:sz w:val="24"/>
          <w:szCs w:val="24"/>
        </w:rPr>
        <w:t>3</w:t>
      </w:r>
      <w:r w:rsidRPr="00EA3619">
        <w:rPr>
          <w:sz w:val="24"/>
          <w:szCs w:val="24"/>
        </w:rPr>
        <w:t>.pielikums</w:t>
      </w:r>
    </w:p>
    <w:p w:rsidR="0038134E" w:rsidRDefault="0038134E" w:rsidP="0038134E">
      <w:pPr>
        <w:spacing w:line="240" w:lineRule="auto"/>
        <w:ind w:left="1080"/>
        <w:jc w:val="right"/>
      </w:pPr>
      <w:r w:rsidRPr="006236DB">
        <w:t xml:space="preserve">Kurzemes novada vispārizglītojošo skolu </w:t>
      </w:r>
    </w:p>
    <w:p w:rsidR="0038134E" w:rsidRDefault="0038134E" w:rsidP="0038134E">
      <w:pPr>
        <w:spacing w:line="240" w:lineRule="auto"/>
        <w:ind w:left="1080"/>
        <w:jc w:val="right"/>
      </w:pPr>
      <w:r w:rsidRPr="006236DB">
        <w:t xml:space="preserve">(ar augstākiem sasniedzamajiem rezultātiem), </w:t>
      </w:r>
    </w:p>
    <w:p w:rsidR="0038134E" w:rsidRPr="006236DB" w:rsidRDefault="0038134E" w:rsidP="0038134E">
      <w:pPr>
        <w:spacing w:line="240" w:lineRule="auto"/>
        <w:ind w:left="1080"/>
        <w:jc w:val="right"/>
      </w:pPr>
      <w:r w:rsidRPr="006236DB">
        <w:t>komandu olimpiāde</w:t>
      </w:r>
      <w:r>
        <w:t xml:space="preserve">i </w:t>
      </w:r>
      <w:r w:rsidRPr="006236DB">
        <w:t>mūzikā</w:t>
      </w:r>
    </w:p>
    <w:p w:rsidR="0038134E" w:rsidRPr="00F24480" w:rsidRDefault="0038134E" w:rsidP="0038134E">
      <w:pPr>
        <w:spacing w:line="240" w:lineRule="auto"/>
        <w:ind w:left="1080"/>
        <w:jc w:val="right"/>
        <w:rPr>
          <w:sz w:val="24"/>
          <w:szCs w:val="24"/>
        </w:rPr>
      </w:pPr>
    </w:p>
    <w:p w:rsidR="0038134E" w:rsidRPr="004D3CC7" w:rsidRDefault="0038134E" w:rsidP="0038134E">
      <w:pPr>
        <w:ind w:left="1080"/>
        <w:jc w:val="center"/>
        <w:rPr>
          <w:b/>
          <w:sz w:val="24"/>
          <w:szCs w:val="24"/>
          <w:lang w:val="sv-SE"/>
        </w:rPr>
      </w:pPr>
      <w:r w:rsidRPr="004D3CC7">
        <w:rPr>
          <w:b/>
          <w:sz w:val="24"/>
          <w:szCs w:val="24"/>
          <w:lang w:val="sv-SE"/>
        </w:rPr>
        <w:t>Dalībnieka personas datu aizsardzības nosacījumi</w:t>
      </w:r>
    </w:p>
    <w:p w:rsidR="0038134E" w:rsidRPr="004D3CC7" w:rsidRDefault="0038134E" w:rsidP="0038134E">
      <w:pPr>
        <w:ind w:left="1080"/>
        <w:jc w:val="both"/>
        <w:rPr>
          <w:sz w:val="24"/>
          <w:szCs w:val="24"/>
          <w:lang w:val="sv-SE"/>
        </w:rPr>
      </w:pPr>
      <w:r w:rsidRPr="004D3CC7">
        <w:rPr>
          <w:sz w:val="24"/>
          <w:szCs w:val="24"/>
          <w:lang w:val="sv-SE"/>
        </w:rPr>
        <w:t>Pielikumā lietoti termini:</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lang w:val="sv-SE"/>
        </w:rPr>
        <w:t>Dalībnieks – fiziska persona, kura</w:t>
      </w:r>
      <w:r w:rsidRPr="004D3CC7">
        <w:rPr>
          <w:sz w:val="24"/>
          <w:szCs w:val="24"/>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4D3CC7">
        <w:rPr>
          <w:sz w:val="24"/>
          <w:szCs w:val="24"/>
          <w:lang w:val="sv-SE"/>
        </w:rPr>
        <w:t xml:space="preserve">fiziskai </w:t>
      </w:r>
      <w:r w:rsidRPr="004D3CC7">
        <w:rPr>
          <w:sz w:val="24"/>
          <w:szCs w:val="24"/>
        </w:rPr>
        <w:t xml:space="preserve">personai līdz 18 gadu vecumam (ieskaitot) dod rakstisku piekrišanu vecāks </w:t>
      </w:r>
      <w:r w:rsidRPr="004D3CC7">
        <w:rPr>
          <w:bCs/>
          <w:sz w:val="24"/>
          <w:szCs w:val="24"/>
        </w:rPr>
        <w:t xml:space="preserve">vai </w:t>
      </w:r>
      <w:r w:rsidRPr="004D3CC7">
        <w:rPr>
          <w:sz w:val="24"/>
          <w:szCs w:val="24"/>
        </w:rPr>
        <w:t>bāriņtiesas ieceltais aizbildnis. Par pasākuma dalībnieku nevar kļūt, ja nav rakstiskas piekrišanas.</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Pārzinis – Valsts izglītības satura centrs, kas nosaka personas datu apstrādes mērķus un apstrādes līdzekļus, kā arī atbild par personas datu apstrādi atbilstoši normatīvo aktu prasībām.</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Personas dati – jebkura informācija, kas attiecas uz identificētu vai identificējamu fizisku personu.</w:t>
      </w:r>
      <w:bookmarkStart w:id="0" w:name="_GoBack"/>
      <w:bookmarkEnd w:id="0"/>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 xml:space="preserve">Regula – Eiropas Parlamenta un Padomes Regula (ES) 2019/679 (2016.gada 27.aprīlis) par fizisku personu aizsardzību attiecībā uz personas datu apstrādi un šādu datu brīvību apriti (pieejama šeit </w:t>
      </w:r>
      <w:hyperlink r:id="rId5" w:history="1">
        <w:r w:rsidRPr="004D3CC7">
          <w:rPr>
            <w:rStyle w:val="Hipersaite"/>
          </w:rPr>
          <w:t>https://eur-lex.europa.eu/legal-content/LV/TXT/?uri=CELEX%3A32016R0679</w:t>
        </w:r>
      </w:hyperlink>
      <w:r w:rsidRPr="004D3CC7">
        <w:rPr>
          <w:sz w:val="24"/>
          <w:szCs w:val="24"/>
        </w:rPr>
        <w:t>).</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 xml:space="preserve">Pasākums – bērnu un jauniešu radošās un mākslinieciskās aktivitātes (skate, festivāls, salidojums, konkurss, sarīkojums, izrāžu parāde, izstāde, sacensības u.c.). </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38134E" w:rsidRPr="004D3CC7" w:rsidRDefault="0038134E" w:rsidP="0038134E">
      <w:pPr>
        <w:numPr>
          <w:ilvl w:val="0"/>
          <w:numId w:val="3"/>
        </w:numPr>
        <w:spacing w:line="240" w:lineRule="auto"/>
        <w:ind w:left="1080"/>
        <w:jc w:val="both"/>
        <w:textAlignment w:val="auto"/>
        <w:outlineLvl w:val="9"/>
        <w:rPr>
          <w:sz w:val="24"/>
          <w:szCs w:val="24"/>
        </w:rPr>
      </w:pPr>
      <w:r w:rsidRPr="004D3CC7">
        <w:rPr>
          <w:sz w:val="24"/>
          <w:szCs w:val="24"/>
        </w:rPr>
        <w:t>Apstrādātājs – fiziska vai juridiska persona, publiska iestāde, aģentūra vai cita struktūra, kura pārziņa vārdā un uzdevumā apstrādā personas datus.</w:t>
      </w:r>
    </w:p>
    <w:p w:rsidR="0038134E" w:rsidRPr="004D3CC7" w:rsidRDefault="0038134E" w:rsidP="0038134E">
      <w:pPr>
        <w:ind w:left="1080"/>
        <w:rPr>
          <w:i/>
          <w:sz w:val="24"/>
          <w:szCs w:val="24"/>
        </w:rPr>
      </w:pPr>
    </w:p>
    <w:p w:rsidR="0038134E" w:rsidRPr="004D3CC7" w:rsidRDefault="0038134E" w:rsidP="0038134E">
      <w:pPr>
        <w:ind w:left="1080"/>
        <w:jc w:val="both"/>
        <w:rPr>
          <w:b/>
          <w:sz w:val="24"/>
          <w:szCs w:val="24"/>
        </w:rPr>
      </w:pPr>
      <w:r w:rsidRPr="004D3CC7">
        <w:rPr>
          <w:b/>
          <w:sz w:val="24"/>
          <w:szCs w:val="24"/>
        </w:rPr>
        <w:t>AUDIO, AUDIOVIZUĀLĀS UN FOTO FIKSĀCIJA</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Šīs sadaļas mērķis ir sniegt informāciju dalībniekam Regulas 13.pantā noteikto informāciju par pasākuma fiksāciju audio, audiovizuālā un fotogrāfiju veidā.</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 xml:space="preserve">Pasākuma norises audio, audiovizuālās fiksēšanas un fotografēšanas rezultātā iegūtais materiāls neierobežotu laiku tiks saglabāts un publiskots iepriekš norādītajam nolūkam. </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 xml:space="preserve">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w:t>
      </w:r>
      <w:r w:rsidRPr="004D3CC7">
        <w:rPr>
          <w:sz w:val="24"/>
          <w:szCs w:val="24"/>
        </w:rPr>
        <w:lastRenderedPageBreak/>
        <w:t>pēc saviem ieskatiem, tajā skaitā ir tiesīgs nodot tās tālāk trešajām personām. Dalībniekam ir tiesības pieprasīt no VISC informāciju par trešajām personām.</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38134E" w:rsidRPr="004D3CC7" w:rsidRDefault="0038134E" w:rsidP="0038134E">
      <w:pPr>
        <w:numPr>
          <w:ilvl w:val="0"/>
          <w:numId w:val="1"/>
        </w:numPr>
        <w:suppressAutoHyphens w:val="0"/>
        <w:spacing w:line="240" w:lineRule="auto"/>
        <w:ind w:left="1080"/>
        <w:jc w:val="both"/>
        <w:textAlignment w:val="auto"/>
        <w:outlineLvl w:val="9"/>
        <w:rPr>
          <w:sz w:val="24"/>
          <w:szCs w:val="24"/>
        </w:rPr>
      </w:pPr>
      <w:r w:rsidRPr="004D3CC7">
        <w:rPr>
          <w:sz w:val="24"/>
          <w:szCs w:val="24"/>
        </w:rPr>
        <w:t xml:space="preserve">Pasākumā esošie plašsaziņas līdzekļi darbojas saskaņā ar to profesionālo darbību regulējošajiem likumiem un atbild par personas datu apstrādi atbilstoši normatīvo aktu prasībām. </w:t>
      </w:r>
    </w:p>
    <w:p w:rsidR="0038134E" w:rsidRPr="00F24480" w:rsidRDefault="0038134E" w:rsidP="0038134E">
      <w:pPr>
        <w:spacing w:line="240" w:lineRule="auto"/>
        <w:ind w:left="1080"/>
        <w:jc w:val="both"/>
        <w:rPr>
          <w:sz w:val="24"/>
          <w:szCs w:val="24"/>
        </w:rPr>
      </w:pPr>
    </w:p>
    <w:p w:rsidR="0038134E" w:rsidRPr="004D3CC7" w:rsidRDefault="0038134E" w:rsidP="0038134E">
      <w:pPr>
        <w:ind w:left="1080"/>
        <w:jc w:val="both"/>
        <w:rPr>
          <w:b/>
          <w:sz w:val="24"/>
          <w:szCs w:val="24"/>
        </w:rPr>
      </w:pPr>
      <w:r w:rsidRPr="004D3CC7">
        <w:rPr>
          <w:b/>
          <w:sz w:val="24"/>
          <w:szCs w:val="24"/>
        </w:rPr>
        <w:t>PASĀKUMA PERSONAS DATU APSTRĀDE, TO DROŠĪBA UN AIZSARDZĪBA</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Šīs sadaļas mērķis ir sniegt pilnīgu informāciju dalībniekam par tās personas datu apstrādes mērķiem, tiesisko pamatu un sniegt informāciju dalībniekam par personas datu apstrādes pārzini.</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 xml:space="preserve">Dalībnieka personas dati tiek iegūti un apstrādāti, pamatojoties uz </w:t>
      </w:r>
      <w:r w:rsidRPr="004D3CC7">
        <w:rPr>
          <w:bCs/>
          <w:sz w:val="24"/>
          <w:szCs w:val="24"/>
        </w:rPr>
        <w:t xml:space="preserve">Ministru kabineta </w:t>
      </w:r>
      <w:r w:rsidRPr="004D3CC7">
        <w:rPr>
          <w:color w:val="000000"/>
          <w:sz w:val="24"/>
          <w:szCs w:val="24"/>
        </w:rPr>
        <w:t xml:space="preserve">2009.gada 30.jūnija noteikumiem Nr.682 „Valsts izglītības satura centra nolikums”. </w:t>
      </w:r>
      <w:r w:rsidRPr="004D3CC7">
        <w:rPr>
          <w:sz w:val="24"/>
          <w:szCs w:val="24"/>
        </w:rPr>
        <w:t>Saskaņā ar Regulas 6.panta pirmās daļas c) apakšpunktu personas datu apstrāde tiek veikta, lai nodrošinātu noteiktās prasības.</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Dalībnieka datu apstrādes mērķi:</w:t>
      </w:r>
    </w:p>
    <w:p w:rsidR="0038134E" w:rsidRPr="004D3CC7" w:rsidRDefault="0038134E" w:rsidP="0038134E">
      <w:pPr>
        <w:spacing w:line="240" w:lineRule="auto"/>
        <w:ind w:left="1080"/>
        <w:jc w:val="both"/>
        <w:rPr>
          <w:sz w:val="24"/>
          <w:szCs w:val="24"/>
        </w:rPr>
      </w:pPr>
      <w:r w:rsidRPr="004D3CC7">
        <w:rPr>
          <w:sz w:val="24"/>
          <w:szCs w:val="24"/>
        </w:rPr>
        <w:t>3.1. pasākuma popularizēšana, pasākuma atspoguļošana, sabiedrības informēšana par pasākuma norisi,</w:t>
      </w:r>
    </w:p>
    <w:p w:rsidR="0038134E" w:rsidRPr="004D3CC7" w:rsidRDefault="0038134E" w:rsidP="0038134E">
      <w:pPr>
        <w:spacing w:line="240" w:lineRule="auto"/>
        <w:ind w:left="1080"/>
        <w:jc w:val="both"/>
        <w:rPr>
          <w:sz w:val="24"/>
          <w:szCs w:val="24"/>
        </w:rPr>
      </w:pPr>
      <w:r w:rsidRPr="004D3CC7">
        <w:rPr>
          <w:sz w:val="24"/>
          <w:szCs w:val="24"/>
        </w:rPr>
        <w:t>3.2. dalībnieka personu datu glabāšana arhivēšanas nolūkiem sabiedrības interesēs un statistikas nolūkiem.</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Dalībnieka tiesības:</w:t>
      </w:r>
    </w:p>
    <w:p w:rsidR="0038134E" w:rsidRPr="004D3CC7" w:rsidRDefault="0038134E" w:rsidP="0038134E">
      <w:pPr>
        <w:ind w:left="1080"/>
        <w:jc w:val="both"/>
        <w:rPr>
          <w:sz w:val="24"/>
          <w:szCs w:val="24"/>
        </w:rPr>
      </w:pPr>
      <w:r w:rsidRPr="004D3CC7">
        <w:rPr>
          <w:sz w:val="24"/>
          <w:szCs w:val="24"/>
        </w:rPr>
        <w:t>5.1. pieprasīt VISC piekļuvi dalībnieka personas datiem;</w:t>
      </w:r>
    </w:p>
    <w:p w:rsidR="0038134E" w:rsidRPr="004D3CC7" w:rsidRDefault="0038134E" w:rsidP="0038134E">
      <w:pPr>
        <w:ind w:left="1080"/>
        <w:jc w:val="both"/>
        <w:rPr>
          <w:sz w:val="24"/>
          <w:szCs w:val="24"/>
        </w:rPr>
      </w:pPr>
      <w:r w:rsidRPr="004D3CC7">
        <w:rPr>
          <w:sz w:val="24"/>
          <w:szCs w:val="24"/>
        </w:rPr>
        <w:t>5.2. pieprasīt VISC dalībnieka personas datu labošanu vai dzēšanu, vai apstrādes ierobežošanu attiecībā uz dalībnieku, vai tiesības iebilst pret apstrādi;</w:t>
      </w:r>
    </w:p>
    <w:p w:rsidR="0038134E" w:rsidRPr="004D3CC7" w:rsidRDefault="0038134E" w:rsidP="0038134E">
      <w:pPr>
        <w:ind w:left="1080"/>
        <w:jc w:val="both"/>
        <w:rPr>
          <w:sz w:val="24"/>
          <w:szCs w:val="24"/>
        </w:rPr>
      </w:pPr>
      <w:r w:rsidRPr="004D3CC7">
        <w:rPr>
          <w:sz w:val="24"/>
          <w:szCs w:val="24"/>
        </w:rPr>
        <w:t>5.3. iesniegt sūdzību uzraudzības iestādei – Datu valsts inspekcijai.</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Dalībnieka personas datu apstrādes ietvaros VISC nodrošina:</w:t>
      </w:r>
    </w:p>
    <w:p w:rsidR="0038134E" w:rsidRPr="004D3CC7" w:rsidRDefault="0038134E" w:rsidP="0038134E">
      <w:pPr>
        <w:ind w:left="1080"/>
        <w:jc w:val="both"/>
        <w:rPr>
          <w:sz w:val="24"/>
          <w:szCs w:val="24"/>
        </w:rPr>
      </w:pPr>
      <w:r w:rsidRPr="004D3CC7">
        <w:rPr>
          <w:sz w:val="24"/>
          <w:szCs w:val="24"/>
        </w:rPr>
        <w:t>6.1. informācijas sniegšanu dalībniekam saskaņā ar Regulas 13.pantu;</w:t>
      </w:r>
    </w:p>
    <w:p w:rsidR="0038134E" w:rsidRPr="004D3CC7" w:rsidRDefault="0038134E" w:rsidP="0038134E">
      <w:pPr>
        <w:ind w:left="1080"/>
        <w:jc w:val="both"/>
        <w:rPr>
          <w:sz w:val="24"/>
          <w:szCs w:val="24"/>
        </w:rPr>
      </w:pPr>
      <w:r w:rsidRPr="004D3CC7">
        <w:rPr>
          <w:sz w:val="24"/>
          <w:szCs w:val="24"/>
        </w:rPr>
        <w:t>6.2. tehnisko un organizatorisko pasākumu veikšanu dalībnieka personas datu drošības un aizsardzības nodrošināšanai;</w:t>
      </w:r>
    </w:p>
    <w:p w:rsidR="0038134E" w:rsidRPr="004D3CC7" w:rsidRDefault="0038134E" w:rsidP="0038134E">
      <w:pPr>
        <w:ind w:left="1080"/>
        <w:jc w:val="both"/>
        <w:rPr>
          <w:sz w:val="24"/>
          <w:szCs w:val="24"/>
        </w:rPr>
      </w:pPr>
      <w:r w:rsidRPr="004D3CC7">
        <w:rPr>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 xml:space="preserve">Dalībnieks var īstenot savas tiesības, tostarp tiesības uzdot VISC jautājumus, rakstiski sazinoties ar VISC: </w:t>
      </w:r>
      <w:hyperlink r:id="rId6" w:history="1">
        <w:r w:rsidRPr="004D3CC7">
          <w:rPr>
            <w:rStyle w:val="Hipersaite"/>
          </w:rPr>
          <w:t>visc@visc.gov.lv</w:t>
        </w:r>
      </w:hyperlink>
      <w:r w:rsidRPr="004D3CC7">
        <w:rPr>
          <w:sz w:val="24"/>
          <w:szCs w:val="24"/>
        </w:rPr>
        <w:t xml:space="preserve"> vai rakstot uz Valsts izglītības satura centru, Strūgu ielā 4, Rīgā, LV – 1003.</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lastRenderedPageBreak/>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38134E" w:rsidRPr="004D3CC7" w:rsidRDefault="0038134E" w:rsidP="0038134E">
      <w:pPr>
        <w:numPr>
          <w:ilvl w:val="0"/>
          <w:numId w:val="2"/>
        </w:numPr>
        <w:suppressAutoHyphens w:val="0"/>
        <w:spacing w:line="240" w:lineRule="auto"/>
        <w:ind w:left="1080"/>
        <w:jc w:val="both"/>
        <w:textAlignment w:val="auto"/>
        <w:outlineLvl w:val="9"/>
        <w:rPr>
          <w:sz w:val="24"/>
          <w:szCs w:val="24"/>
        </w:rPr>
      </w:pPr>
      <w:r w:rsidRPr="004D3CC7">
        <w:rPr>
          <w:sz w:val="24"/>
          <w:szCs w:val="24"/>
        </w:rPr>
        <w:t>Informācija par personas datu apstrādes pārzini:</w:t>
      </w:r>
    </w:p>
    <w:p w:rsidR="0038134E" w:rsidRPr="0096535A" w:rsidRDefault="0038134E" w:rsidP="0038134E">
      <w:pPr>
        <w:spacing w:line="240" w:lineRule="auto"/>
        <w:ind w:left="1080"/>
        <w:jc w:val="both"/>
      </w:pPr>
      <w:r w:rsidRPr="0096535A">
        <w:t>Valsts izglītības satura centrs, reģistrācijas Nr. 90009115938,</w:t>
      </w:r>
    </w:p>
    <w:p w:rsidR="0038134E" w:rsidRPr="0096535A" w:rsidRDefault="0038134E" w:rsidP="0038134E">
      <w:pPr>
        <w:spacing w:line="240" w:lineRule="auto"/>
        <w:ind w:left="1080"/>
        <w:jc w:val="both"/>
      </w:pPr>
      <w:r w:rsidRPr="0096535A">
        <w:t>Juridiskā adrese: Vaļņu iela 2, Rīga, LV-1050</w:t>
      </w:r>
    </w:p>
    <w:p w:rsidR="0038134E" w:rsidRPr="0096535A" w:rsidRDefault="0038134E" w:rsidP="0038134E">
      <w:pPr>
        <w:spacing w:line="240" w:lineRule="auto"/>
        <w:ind w:left="1080"/>
        <w:jc w:val="both"/>
      </w:pPr>
      <w:r w:rsidRPr="0096535A">
        <w:t xml:space="preserve">E-pasta adrese: </w:t>
      </w:r>
      <w:hyperlink r:id="rId7" w:history="1">
        <w:r w:rsidRPr="0096535A">
          <w:rPr>
            <w:rStyle w:val="Hipersaite"/>
          </w:rPr>
          <w:t>visc@visc.gov.lv</w:t>
        </w:r>
      </w:hyperlink>
    </w:p>
    <w:p w:rsidR="0038134E" w:rsidRPr="0096535A" w:rsidRDefault="0038134E" w:rsidP="0038134E">
      <w:pPr>
        <w:spacing w:line="240" w:lineRule="auto"/>
        <w:ind w:left="1080"/>
        <w:jc w:val="both"/>
      </w:pPr>
      <w:r w:rsidRPr="0096535A">
        <w:t xml:space="preserve">Datu aizsardzības speciālista kontaktinformācija: e-pasta adrese: </w:t>
      </w:r>
      <w:hyperlink r:id="rId8" w:history="1">
        <w:r w:rsidRPr="0096535A">
          <w:rPr>
            <w:rStyle w:val="Hipersaite"/>
          </w:rPr>
          <w:t>visc@visc.gov.lv</w:t>
        </w:r>
      </w:hyperlink>
      <w:r w:rsidRPr="0096535A">
        <w:t xml:space="preserve">. </w:t>
      </w:r>
    </w:p>
    <w:p w:rsidR="0038134E" w:rsidRPr="0096535A" w:rsidRDefault="0038134E" w:rsidP="0038134E">
      <w:pPr>
        <w:spacing w:line="240" w:lineRule="auto"/>
        <w:ind w:left="1080"/>
      </w:pPr>
      <w:r w:rsidRPr="0096535A">
        <w:t>Pasākuma organizēšanas un rīkošanas gaitā VISC var piesaistīt citus personas datu apstrādātājus, atbilstoši papildinot ar šo informāciju šo pielikumu.</w:t>
      </w:r>
    </w:p>
    <w:p w:rsidR="00993BE3" w:rsidRDefault="00993BE3"/>
    <w:sectPr w:rsidR="00993B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76"/>
    <w:rsid w:val="0038134E"/>
    <w:rsid w:val="00481B76"/>
    <w:rsid w:val="00993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A7834-66F6-45A2-9D7D-AB7529FA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34E"/>
    <w:pPr>
      <w:suppressAutoHyphens/>
      <w:spacing w:after="0" w:line="1" w:lineRule="atLeast"/>
      <w:ind w:left="-1" w:hanging="1"/>
      <w:textAlignment w:val="top"/>
      <w:outlineLvl w:val="0"/>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38134E"/>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3" Type="http://schemas.openxmlformats.org/officeDocument/2006/relationships/settings" Target="settings.xml"/><Relationship Id="rId7" Type="http://schemas.openxmlformats.org/officeDocument/2006/relationships/hyperlink" Target="mailto:visc@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c@visc.gov.lv" TargetMode="External"/><Relationship Id="rId5" Type="http://schemas.openxmlformats.org/officeDocument/2006/relationships/hyperlink" Target="https://eur-lex.europa.eu/legal-content/LV/TXT/?uri=CELEX%3A32016R067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4340</Words>
  <Characters>2474</Characters>
  <Application>Microsoft Office Word</Application>
  <DocSecurity>0</DocSecurity>
  <Lines>20</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Ingevica</dc:creator>
  <cp:keywords/>
  <dc:description/>
  <cp:lastModifiedBy>Laila Ingevica</cp:lastModifiedBy>
  <cp:revision>2</cp:revision>
  <dcterms:created xsi:type="dcterms:W3CDTF">2023-12-04T15:51:00Z</dcterms:created>
  <dcterms:modified xsi:type="dcterms:W3CDTF">2023-12-04T15:51:00Z</dcterms:modified>
</cp:coreProperties>
</file>